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D780" w14:textId="77777777" w:rsidR="00335151" w:rsidRPr="00A10D8F" w:rsidRDefault="0004029C" w:rsidP="0004029C">
      <w:pPr>
        <w:jc w:val="center"/>
        <w:rPr>
          <w:b/>
          <w:sz w:val="36"/>
          <w:szCs w:val="36"/>
        </w:rPr>
      </w:pPr>
      <w:r w:rsidRPr="00A10D8F">
        <w:rPr>
          <w:b/>
          <w:sz w:val="36"/>
          <w:szCs w:val="36"/>
        </w:rPr>
        <w:t>The 60% Solution</w:t>
      </w:r>
    </w:p>
    <w:p w14:paraId="0084F6C3" w14:textId="77777777" w:rsidR="0004029C" w:rsidRPr="00727CB9" w:rsidRDefault="0004029C" w:rsidP="0004029C">
      <w:pPr>
        <w:jc w:val="center"/>
        <w:rPr>
          <w:b/>
          <w:sz w:val="24"/>
          <w:szCs w:val="24"/>
        </w:rPr>
      </w:pPr>
      <w:r w:rsidRPr="00727CB9">
        <w:rPr>
          <w:b/>
          <w:sz w:val="24"/>
          <w:szCs w:val="24"/>
        </w:rPr>
        <w:t>(</w:t>
      </w:r>
      <w:r w:rsidR="00514849" w:rsidRPr="00727CB9">
        <w:rPr>
          <w:b/>
          <w:sz w:val="24"/>
          <w:szCs w:val="24"/>
        </w:rPr>
        <w:t xml:space="preserve">A </w:t>
      </w:r>
      <w:r w:rsidRPr="00727CB9">
        <w:rPr>
          <w:b/>
          <w:sz w:val="24"/>
          <w:szCs w:val="24"/>
        </w:rPr>
        <w:t>Simpler Saving</w:t>
      </w:r>
      <w:r w:rsidR="00514849" w:rsidRPr="00727CB9">
        <w:rPr>
          <w:b/>
          <w:sz w:val="24"/>
          <w:szCs w:val="24"/>
        </w:rPr>
        <w:t xml:space="preserve"> Target Formula</w:t>
      </w:r>
      <w:r w:rsidRPr="00727CB9">
        <w:rPr>
          <w:b/>
          <w:sz w:val="24"/>
          <w:szCs w:val="24"/>
        </w:rPr>
        <w:t>)</w:t>
      </w:r>
    </w:p>
    <w:p w14:paraId="07FB3F3B" w14:textId="621756E8" w:rsidR="0004029C" w:rsidRDefault="0004029C" w:rsidP="0004029C">
      <w:pPr>
        <w:spacing w:after="0" w:line="240" w:lineRule="auto"/>
      </w:pPr>
      <w:r w:rsidRPr="00727CB9">
        <w:rPr>
          <w:b/>
          <w:bCs/>
          <w:sz w:val="24"/>
          <w:szCs w:val="24"/>
          <w:u w:val="single"/>
        </w:rPr>
        <w:t>Your Income</w:t>
      </w:r>
      <w:r w:rsidR="001B76A0">
        <w:t>-----------------------------------------------------------------------------------------</w:t>
      </w:r>
      <w:r w:rsidR="001B76A0">
        <w:tab/>
      </w:r>
      <w:r w:rsidR="000C34C0">
        <w:tab/>
      </w:r>
      <w:r>
        <w:tab/>
      </w:r>
      <w:r w:rsidRPr="00A10D8F">
        <w:rPr>
          <w:b/>
        </w:rPr>
        <w:t>100%</w:t>
      </w:r>
    </w:p>
    <w:p w14:paraId="4CB56A3D" w14:textId="77777777" w:rsidR="0004029C" w:rsidRDefault="0004029C" w:rsidP="0004029C">
      <w:pPr>
        <w:spacing w:after="0" w:line="240" w:lineRule="auto"/>
      </w:pPr>
    </w:p>
    <w:p w14:paraId="66B98727" w14:textId="346DF7D8" w:rsidR="001B76A0" w:rsidRDefault="001B76A0" w:rsidP="0004029C">
      <w:pPr>
        <w:spacing w:after="0" w:line="240" w:lineRule="auto"/>
      </w:pPr>
      <w:r w:rsidRPr="00727CB9">
        <w:rPr>
          <w:b/>
          <w:bCs/>
          <w:sz w:val="24"/>
          <w:szCs w:val="24"/>
          <w:u w:val="single"/>
        </w:rPr>
        <w:t>Short Term Savings</w:t>
      </w:r>
      <w:r>
        <w:t>--------------------------------------------------------------------------------</w:t>
      </w:r>
      <w:r>
        <w:tab/>
      </w:r>
      <w:r w:rsidR="000C34C0">
        <w:tab/>
      </w:r>
      <w:r>
        <w:tab/>
      </w:r>
      <w:r w:rsidRPr="00A10D8F">
        <w:rPr>
          <w:b/>
        </w:rPr>
        <w:t>-10%</w:t>
      </w:r>
      <w:r>
        <w:tab/>
      </w:r>
      <w:r>
        <w:tab/>
      </w:r>
    </w:p>
    <w:p w14:paraId="7682D55B" w14:textId="2BE4652B" w:rsidR="001B76A0" w:rsidRDefault="001B76A0" w:rsidP="000C34C0">
      <w:pPr>
        <w:pStyle w:val="ListParagraph"/>
        <w:numPr>
          <w:ilvl w:val="0"/>
          <w:numId w:val="1"/>
        </w:numPr>
        <w:spacing w:after="0" w:line="240" w:lineRule="auto"/>
      </w:pPr>
      <w:r>
        <w:t>Automatically Deposited (if possible)</w:t>
      </w:r>
    </w:p>
    <w:p w14:paraId="143FFD5F" w14:textId="77777777" w:rsidR="001B76A0" w:rsidRDefault="001B76A0" w:rsidP="000C34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Put &amp; Take Account for </w:t>
      </w:r>
      <w:r w:rsidR="00514849">
        <w:t>Unexpected Expenses</w:t>
      </w:r>
    </w:p>
    <w:p w14:paraId="75E7DBFB" w14:textId="77777777" w:rsidR="001B76A0" w:rsidRDefault="001B76A0" w:rsidP="0004029C">
      <w:pPr>
        <w:spacing w:after="0" w:line="240" w:lineRule="auto"/>
      </w:pPr>
    </w:p>
    <w:p w14:paraId="5AEF2E68" w14:textId="79C9F314" w:rsidR="001B76A0" w:rsidRDefault="001B76A0" w:rsidP="0004029C">
      <w:pPr>
        <w:spacing w:after="0" w:line="240" w:lineRule="auto"/>
      </w:pPr>
      <w:r w:rsidRPr="00727CB9">
        <w:rPr>
          <w:b/>
          <w:bCs/>
          <w:sz w:val="24"/>
          <w:szCs w:val="24"/>
          <w:u w:val="single"/>
        </w:rPr>
        <w:t>Retirement Savings</w:t>
      </w:r>
      <w:r>
        <w:t>--------------------------------------------------------------------------------</w:t>
      </w:r>
      <w:r>
        <w:tab/>
      </w:r>
      <w:r w:rsidR="000C34C0">
        <w:tab/>
      </w:r>
      <w:r>
        <w:tab/>
      </w:r>
      <w:r w:rsidRPr="00A10D8F">
        <w:rPr>
          <w:b/>
        </w:rPr>
        <w:t>-10%</w:t>
      </w:r>
    </w:p>
    <w:p w14:paraId="24D4404C" w14:textId="6E6692CB" w:rsidR="001B76A0" w:rsidRDefault="001B76A0" w:rsidP="000C34C0">
      <w:pPr>
        <w:pStyle w:val="ListParagraph"/>
        <w:numPr>
          <w:ilvl w:val="0"/>
          <w:numId w:val="2"/>
        </w:numPr>
        <w:spacing w:after="0" w:line="240" w:lineRule="auto"/>
      </w:pPr>
      <w:r>
        <w:t>Automatically Deposited (if possible)</w:t>
      </w:r>
    </w:p>
    <w:p w14:paraId="7DB36864" w14:textId="512F782F" w:rsidR="001B76A0" w:rsidRDefault="001B76A0" w:rsidP="000C34C0">
      <w:pPr>
        <w:pStyle w:val="ListParagraph"/>
        <w:numPr>
          <w:ilvl w:val="0"/>
          <w:numId w:val="2"/>
        </w:numPr>
        <w:spacing w:after="0" w:line="240" w:lineRule="auto"/>
      </w:pPr>
      <w:r>
        <w:t>401(k)’s, IRA’s, Roth IRA’s, SIMPLE IRA’s (Qualified Retirement Accts.)</w:t>
      </w:r>
    </w:p>
    <w:p w14:paraId="66B8BACA" w14:textId="77777777" w:rsidR="001B76A0" w:rsidRDefault="001B76A0" w:rsidP="0004029C">
      <w:pPr>
        <w:spacing w:after="0" w:line="240" w:lineRule="auto"/>
      </w:pPr>
    </w:p>
    <w:p w14:paraId="57E2B7F7" w14:textId="537F4FC2" w:rsidR="001B76A0" w:rsidRDefault="001B76A0" w:rsidP="0004029C">
      <w:pPr>
        <w:spacing w:after="0" w:line="240" w:lineRule="auto"/>
      </w:pPr>
      <w:r w:rsidRPr="00727CB9">
        <w:rPr>
          <w:b/>
          <w:bCs/>
          <w:sz w:val="24"/>
          <w:szCs w:val="24"/>
          <w:u w:val="single"/>
        </w:rPr>
        <w:t>Long Term Savings</w:t>
      </w:r>
      <w:r>
        <w:t>---------------------------------------------------------------------------------</w:t>
      </w:r>
      <w:r>
        <w:tab/>
      </w:r>
      <w:r>
        <w:tab/>
      </w:r>
      <w:r w:rsidR="000C34C0">
        <w:tab/>
      </w:r>
      <w:r w:rsidRPr="00A10D8F">
        <w:rPr>
          <w:b/>
        </w:rPr>
        <w:t>-10%</w:t>
      </w:r>
    </w:p>
    <w:p w14:paraId="2FB85DBE" w14:textId="77777777" w:rsidR="001B76A0" w:rsidRDefault="001B76A0" w:rsidP="000C34C0">
      <w:pPr>
        <w:pStyle w:val="ListParagraph"/>
        <w:numPr>
          <w:ilvl w:val="0"/>
          <w:numId w:val="3"/>
        </w:numPr>
        <w:spacing w:after="0" w:line="240" w:lineRule="auto"/>
      </w:pPr>
      <w:r>
        <w:t>Automatically Deposited (if possible)</w:t>
      </w:r>
    </w:p>
    <w:p w14:paraId="4EF101C9" w14:textId="2D0D06E6" w:rsidR="001B76A0" w:rsidRDefault="001B76A0" w:rsidP="000C34C0">
      <w:pPr>
        <w:pStyle w:val="ListParagraph"/>
        <w:numPr>
          <w:ilvl w:val="0"/>
          <w:numId w:val="3"/>
        </w:numPr>
        <w:spacing w:after="0" w:line="240" w:lineRule="auto"/>
      </w:pPr>
      <w:r>
        <w:t>CD’s, Stocks, Bonds, Mutual Funds (Non-Retirement Accounts)</w:t>
      </w:r>
    </w:p>
    <w:p w14:paraId="0EDE6BF7" w14:textId="77777777" w:rsidR="001B76A0" w:rsidRDefault="001B76A0" w:rsidP="0004029C">
      <w:pPr>
        <w:spacing w:after="0" w:line="240" w:lineRule="auto"/>
      </w:pPr>
    </w:p>
    <w:p w14:paraId="05E0A472" w14:textId="5623AB4E" w:rsidR="001B76A0" w:rsidRDefault="001B76A0" w:rsidP="0004029C">
      <w:pPr>
        <w:spacing w:after="0" w:line="240" w:lineRule="auto"/>
      </w:pPr>
      <w:r w:rsidRPr="00727CB9">
        <w:rPr>
          <w:b/>
          <w:bCs/>
          <w:sz w:val="24"/>
          <w:szCs w:val="24"/>
          <w:u w:val="single"/>
        </w:rPr>
        <w:t>Fun Money</w:t>
      </w:r>
      <w:r>
        <w:t>------------------------------------------------------------------------------------------</w:t>
      </w:r>
      <w:r>
        <w:tab/>
      </w:r>
      <w:r w:rsidR="00727CB9">
        <w:tab/>
      </w:r>
      <w:r>
        <w:tab/>
      </w:r>
      <w:r w:rsidR="000C34C0">
        <w:tab/>
      </w:r>
      <w:r w:rsidRPr="00A10D8F">
        <w:rPr>
          <w:b/>
          <w:u w:val="single"/>
        </w:rPr>
        <w:t>-10%</w:t>
      </w:r>
    </w:p>
    <w:p w14:paraId="1611685B" w14:textId="4E83CC54" w:rsidR="00514849" w:rsidRDefault="00514849" w:rsidP="000C34C0">
      <w:pPr>
        <w:pStyle w:val="ListParagraph"/>
        <w:numPr>
          <w:ilvl w:val="0"/>
          <w:numId w:val="4"/>
        </w:numPr>
        <w:spacing w:after="0" w:line="240" w:lineRule="auto"/>
      </w:pPr>
      <w:r>
        <w:t>Automatically Deposited (if possible)</w:t>
      </w:r>
    </w:p>
    <w:p w14:paraId="34DD34B7" w14:textId="04CBC0A1" w:rsidR="00514849" w:rsidRDefault="00A10D8F" w:rsidP="000C34C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Another </w:t>
      </w:r>
      <w:r w:rsidR="00514849">
        <w:t>Short</w:t>
      </w:r>
      <w:r w:rsidR="000C34C0">
        <w:t>-</w:t>
      </w:r>
      <w:r w:rsidR="00514849">
        <w:t>Term Savings Account for Vacations or Anything Fun</w:t>
      </w:r>
    </w:p>
    <w:p w14:paraId="253C192A" w14:textId="77777777" w:rsidR="00514849" w:rsidRDefault="00514849" w:rsidP="0004029C">
      <w:pPr>
        <w:spacing w:after="0" w:line="240" w:lineRule="auto"/>
      </w:pPr>
    </w:p>
    <w:p w14:paraId="0D9E1B14" w14:textId="77777777" w:rsidR="0004029C" w:rsidRPr="00727CB9" w:rsidRDefault="0004029C" w:rsidP="0004029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27CB9">
        <w:rPr>
          <w:b/>
          <w:bCs/>
          <w:sz w:val="24"/>
          <w:szCs w:val="24"/>
          <w:u w:val="single"/>
        </w:rPr>
        <w:t>Committed Expenses</w:t>
      </w:r>
    </w:p>
    <w:p w14:paraId="0581984C" w14:textId="392787F0" w:rsidR="001B76A0" w:rsidRDefault="001B76A0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Charitable Contributions</w:t>
      </w:r>
    </w:p>
    <w:p w14:paraId="57BC60C4" w14:textId="7EAD0372" w:rsidR="0004029C" w:rsidRDefault="0004029C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Food &amp; Clothing</w:t>
      </w:r>
    </w:p>
    <w:p w14:paraId="70D93224" w14:textId="2F031B9A" w:rsidR="001B76A0" w:rsidRDefault="001B76A0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Housing Expenses</w:t>
      </w:r>
    </w:p>
    <w:p w14:paraId="57658158" w14:textId="593E6D55" w:rsidR="007441CC" w:rsidRDefault="007441CC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Vehicle Expenses</w:t>
      </w:r>
    </w:p>
    <w:p w14:paraId="6C1FE6F5" w14:textId="1053682F" w:rsidR="001B76A0" w:rsidRDefault="001B76A0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Insurance Premiums</w:t>
      </w:r>
    </w:p>
    <w:p w14:paraId="1EEC249D" w14:textId="4DAA6426" w:rsidR="001B76A0" w:rsidRDefault="001B76A0" w:rsidP="000C34C0">
      <w:pPr>
        <w:pStyle w:val="ListParagraph"/>
        <w:numPr>
          <w:ilvl w:val="0"/>
          <w:numId w:val="5"/>
        </w:numPr>
        <w:spacing w:after="0" w:line="240" w:lineRule="auto"/>
      </w:pPr>
      <w:r>
        <w:t>Property Taxes</w:t>
      </w:r>
    </w:p>
    <w:p w14:paraId="64456C2E" w14:textId="316FA368" w:rsidR="001B76A0" w:rsidRDefault="001B76A0" w:rsidP="000C34C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All Other Living Expenses (including </w:t>
      </w:r>
      <w:r w:rsidR="00514849">
        <w:t xml:space="preserve">loan payments and </w:t>
      </w:r>
      <w:r>
        <w:t>non-essentials)</w:t>
      </w:r>
      <w:r w:rsidR="00514849">
        <w:tab/>
      </w:r>
      <w:r w:rsidR="00727CB9">
        <w:tab/>
      </w:r>
      <w:r w:rsidR="00514849">
        <w:tab/>
      </w:r>
      <w:r w:rsidR="000C34C0">
        <w:tab/>
      </w:r>
      <w:r w:rsidRPr="000C34C0">
        <w:rPr>
          <w:b/>
        </w:rPr>
        <w:t>60%</w:t>
      </w:r>
    </w:p>
    <w:p w14:paraId="72DEB56E" w14:textId="77777777" w:rsidR="00514849" w:rsidRDefault="00514849" w:rsidP="0004029C">
      <w:pPr>
        <w:spacing w:after="0" w:line="240" w:lineRule="auto"/>
      </w:pPr>
    </w:p>
    <w:p w14:paraId="3567573C" w14:textId="2DA3A732" w:rsidR="007441CC" w:rsidRDefault="00514849" w:rsidP="0004029C">
      <w:pPr>
        <w:spacing w:after="0" w:line="240" w:lineRule="auto"/>
      </w:pPr>
      <w:r>
        <w:t>The key to reaching these targets usually comes down to managing committed expenses to keep them at 60% or less.  Many people, who have trouble saving, find that their co</w:t>
      </w:r>
      <w:r w:rsidR="007441CC">
        <w:t>mmitted expenses are over 60%.  Often the culprit</w:t>
      </w:r>
      <w:r w:rsidR="009B2A5C">
        <w:t>s are</w:t>
      </w:r>
      <w:r w:rsidR="007441CC">
        <w:t xml:space="preserve"> loan payments (including credit cards) and non-essential expenses.  </w:t>
      </w:r>
      <w:r>
        <w:t xml:space="preserve">Managing the gap between income and lifestyle </w:t>
      </w:r>
      <w:r w:rsidR="007441CC">
        <w:t xml:space="preserve">(unfortunately) </w:t>
      </w:r>
      <w:r>
        <w:t xml:space="preserve">usually requires that some </w:t>
      </w:r>
      <w:r w:rsidR="00016F4B">
        <w:t>tough choices</w:t>
      </w:r>
      <w:r>
        <w:t xml:space="preserve"> be made regarding where you live, what you drive and what you do with your spare time.</w:t>
      </w:r>
      <w:r w:rsidR="00E70360">
        <w:t xml:space="preserve">  S</w:t>
      </w:r>
      <w:r w:rsidR="007441CC">
        <w:t>ometimes people find it necessary to, temporarily, use the long-term savings</w:t>
      </w:r>
      <w:r w:rsidR="008522D0">
        <w:t xml:space="preserve"> allocation to pay down debt to </w:t>
      </w:r>
      <w:r w:rsidR="00016F4B">
        <w:t xml:space="preserve">help </w:t>
      </w:r>
      <w:r w:rsidR="008522D0">
        <w:t>reach the 60% target.  An honest review of non-essential expenses can also help find extra money.</w:t>
      </w:r>
    </w:p>
    <w:p w14:paraId="360D5F4F" w14:textId="0EFCCC80" w:rsidR="008522D0" w:rsidRPr="009A2FD1" w:rsidRDefault="008522D0" w:rsidP="0004029C">
      <w:pPr>
        <w:spacing w:after="0" w:line="240" w:lineRule="auto"/>
        <w:rPr>
          <w:b/>
          <w:bCs/>
        </w:rPr>
      </w:pPr>
      <w:r w:rsidRPr="009A2FD1">
        <w:rPr>
          <w:b/>
          <w:bCs/>
        </w:rPr>
        <w:t>Notice the word “Simple” does not always mean “Easy”!  In fact, the good decisions are usually “Hard”!</w:t>
      </w:r>
    </w:p>
    <w:p w14:paraId="75FDB690" w14:textId="77777777" w:rsidR="009A2FD1" w:rsidRDefault="009A2FD1" w:rsidP="009A2FD1">
      <w:pPr>
        <w:spacing w:after="0" w:line="240" w:lineRule="auto"/>
        <w:jc w:val="center"/>
        <w:rPr>
          <w:b/>
          <w:sz w:val="28"/>
          <w:szCs w:val="28"/>
        </w:rPr>
      </w:pPr>
    </w:p>
    <w:p w14:paraId="3940992A" w14:textId="707AEDFB" w:rsidR="009A2FD1" w:rsidRDefault="009A2FD1" w:rsidP="009A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Greg A. Powell, CFP®</w:t>
      </w:r>
    </w:p>
    <w:p w14:paraId="7E40A377" w14:textId="46530D4A" w:rsidR="009A2FD1" w:rsidRDefault="00D215CE" w:rsidP="009A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Independent Plan Investments</w:t>
      </w:r>
    </w:p>
    <w:p w14:paraId="10CC09D0" w14:textId="77777777" w:rsidR="009A2FD1" w:rsidRDefault="000A0B46" w:rsidP="009A2FD1">
      <w:pPr>
        <w:spacing w:after="0" w:line="240" w:lineRule="auto"/>
        <w:jc w:val="center"/>
        <w:rPr>
          <w:b/>
          <w:sz w:val="28"/>
          <w:szCs w:val="28"/>
        </w:rPr>
      </w:pPr>
      <w:hyperlink r:id="rId7" w:history="1">
        <w:r w:rsidR="009A2FD1" w:rsidRPr="00EF3958">
          <w:rPr>
            <w:rStyle w:val="Hyperlink"/>
            <w:b/>
            <w:sz w:val="28"/>
            <w:szCs w:val="28"/>
          </w:rPr>
          <w:t>greg.powell@lpl.com</w:t>
        </w:r>
      </w:hyperlink>
    </w:p>
    <w:p w14:paraId="7EA13485" w14:textId="77777777" w:rsidR="009A2FD1" w:rsidRDefault="009A2FD1" w:rsidP="009A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1-800-334-0753</w:t>
      </w:r>
    </w:p>
    <w:p w14:paraId="0968C8DB" w14:textId="77777777" w:rsidR="009A2FD1" w:rsidRDefault="009A2FD1" w:rsidP="009A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Securities and advisory services offered through</w:t>
      </w:r>
    </w:p>
    <w:p w14:paraId="13EE3AD3" w14:textId="77777777" w:rsidR="009A2FD1" w:rsidRDefault="009A2FD1" w:rsidP="009A2F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LPL Financial, a registered investment advisor,</w:t>
      </w:r>
    </w:p>
    <w:p w14:paraId="3A0E34BD" w14:textId="7609B6B5" w:rsidR="008522D0" w:rsidRDefault="004E4C80" w:rsidP="004E4C80">
      <w:pPr>
        <w:tabs>
          <w:tab w:val="left" w:pos="1650"/>
          <w:tab w:val="center" w:pos="5400"/>
        </w:tabs>
        <w:spacing w:after="0" w:line="24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2FD1">
        <w:rPr>
          <w:b/>
          <w:sz w:val="28"/>
          <w:szCs w:val="28"/>
        </w:rPr>
        <w:t>Member FINRA/SIPC</w:t>
      </w:r>
    </w:p>
    <w:sectPr w:rsidR="008522D0" w:rsidSect="009A2F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6A05" w14:textId="77777777" w:rsidR="000A0B46" w:rsidRDefault="000A0B46" w:rsidP="00E70360">
      <w:pPr>
        <w:spacing w:after="0" w:line="240" w:lineRule="auto"/>
      </w:pPr>
      <w:r>
        <w:separator/>
      </w:r>
    </w:p>
  </w:endnote>
  <w:endnote w:type="continuationSeparator" w:id="0">
    <w:p w14:paraId="445B186C" w14:textId="77777777" w:rsidR="000A0B46" w:rsidRDefault="000A0B46" w:rsidP="00E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C189" w14:textId="734E711A" w:rsidR="00E70360" w:rsidRDefault="00E70360" w:rsidP="004E4C80">
    <w:pPr>
      <w:pStyle w:val="Footer"/>
      <w:jc w:val="center"/>
    </w:pPr>
    <w:r>
      <w:t>This is a guideline and not representative of any specific situation.  Your result</w:t>
    </w:r>
    <w:r w:rsidR="004E4C80">
      <w:t>s ma</w:t>
    </w:r>
    <w:r>
      <w:t>y vary.</w:t>
    </w:r>
  </w:p>
  <w:p w14:paraId="2355F81F" w14:textId="50E161B6" w:rsidR="004E4C80" w:rsidRDefault="004E4C80" w:rsidP="004E4C80">
    <w:pPr>
      <w:pStyle w:val="Footer"/>
      <w:jc w:val="center"/>
    </w:pPr>
    <w:r>
      <w:tab/>
    </w:r>
    <w:r>
      <w:tab/>
      <w:t>(1-05062453)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8ADE" w14:textId="77777777" w:rsidR="000A0B46" w:rsidRDefault="000A0B46" w:rsidP="00E70360">
      <w:pPr>
        <w:spacing w:after="0" w:line="240" w:lineRule="auto"/>
      </w:pPr>
      <w:r>
        <w:separator/>
      </w:r>
    </w:p>
  </w:footnote>
  <w:footnote w:type="continuationSeparator" w:id="0">
    <w:p w14:paraId="0CE2F35E" w14:textId="77777777" w:rsidR="000A0B46" w:rsidRDefault="000A0B46" w:rsidP="00E7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6A"/>
    <w:multiLevelType w:val="hybridMultilevel"/>
    <w:tmpl w:val="B5C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186"/>
    <w:multiLevelType w:val="hybridMultilevel"/>
    <w:tmpl w:val="9FC8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2F6D"/>
    <w:multiLevelType w:val="hybridMultilevel"/>
    <w:tmpl w:val="CF9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4073"/>
    <w:multiLevelType w:val="hybridMultilevel"/>
    <w:tmpl w:val="4A44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93E99"/>
    <w:multiLevelType w:val="hybridMultilevel"/>
    <w:tmpl w:val="114A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9C"/>
    <w:rsid w:val="00016F4B"/>
    <w:rsid w:val="0004029C"/>
    <w:rsid w:val="000A0B46"/>
    <w:rsid w:val="000C34C0"/>
    <w:rsid w:val="001B76A0"/>
    <w:rsid w:val="00335151"/>
    <w:rsid w:val="004E4C80"/>
    <w:rsid w:val="00514849"/>
    <w:rsid w:val="00727CB9"/>
    <w:rsid w:val="007441CC"/>
    <w:rsid w:val="008522D0"/>
    <w:rsid w:val="0099030F"/>
    <w:rsid w:val="009A2FD1"/>
    <w:rsid w:val="009B2A5C"/>
    <w:rsid w:val="00A10D8F"/>
    <w:rsid w:val="00C015AF"/>
    <w:rsid w:val="00D15039"/>
    <w:rsid w:val="00D215CE"/>
    <w:rsid w:val="00E7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B108A"/>
  <w15:docId w15:val="{FDFB115A-7A89-4F62-A798-2693AEA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F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60"/>
  </w:style>
  <w:style w:type="paragraph" w:styleId="Footer">
    <w:name w:val="footer"/>
    <w:basedOn w:val="Normal"/>
    <w:link w:val="FooterChar"/>
    <w:uiPriority w:val="99"/>
    <w:unhideWhenUsed/>
    <w:rsid w:val="00E7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g.powell@lp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Greg.Powell</dc:creator>
  <cp:lastModifiedBy>Greg Powell</cp:lastModifiedBy>
  <cp:revision>11</cp:revision>
  <cp:lastPrinted>2020-10-01T19:54:00Z</cp:lastPrinted>
  <dcterms:created xsi:type="dcterms:W3CDTF">2013-11-14T18:33:00Z</dcterms:created>
  <dcterms:modified xsi:type="dcterms:W3CDTF">2021-12-10T21:14:00Z</dcterms:modified>
</cp:coreProperties>
</file>